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0"/>
        <w:spacing w:line="540" w:lineRule="exact"/>
        <w:jc w:val="center"/>
        <w:rPr>
          <w:rFonts w:hint="eastAsia"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50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50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50"/>
        <w:spacing w:line="540" w:lineRule="exact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50"/>
        <w:spacing w:line="540" w:lineRule="exact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50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50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hint="eastAsia"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50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50"/>
        <w:spacing w:line="540" w:lineRule="exact"/>
        <w:jc w:val="center"/>
        <w:rPr>
          <w:rFonts w:eastAsia="Times New Roman"/>
          <w:color w:val="auto"/>
          <w:kern w:val="0"/>
          <w:sz w:val="36"/>
          <w:szCs w:val="36"/>
          <w:lang w:val="zh-TW" w:eastAsia="zh-TW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（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</w:rPr>
        <w:t>8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年度）</w:t>
      </w:r>
    </w:p>
    <w:p>
      <w:pPr>
        <w:pStyle w:val="50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>
      <w:pPr>
        <w:pStyle w:val="50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>
      <w:pPr>
        <w:pStyle w:val="50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>
      <w:pPr>
        <w:pStyle w:val="50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>
      <w:pPr>
        <w:pStyle w:val="50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>
      <w:pPr>
        <w:pStyle w:val="50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>
      <w:pPr>
        <w:pStyle w:val="50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>
      <w:pPr>
        <w:pStyle w:val="50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林果病虫害防治项目</w:t>
      </w:r>
    </w:p>
    <w:p>
      <w:pPr>
        <w:pStyle w:val="50"/>
        <w:spacing w:line="700" w:lineRule="exact"/>
        <w:ind w:firstLine="720" w:firstLineChars="20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英吉沙县城关乡人民政府</w:t>
      </w:r>
    </w:p>
    <w:p>
      <w:pPr>
        <w:pStyle w:val="50"/>
        <w:spacing w:line="700" w:lineRule="exact"/>
        <w:ind w:firstLine="720" w:firstLineChars="20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英吉沙县林业局</w:t>
      </w:r>
    </w:p>
    <w:p>
      <w:pPr>
        <w:pStyle w:val="50"/>
        <w:spacing w:line="700" w:lineRule="exact"/>
        <w:ind w:firstLine="720" w:firstLineChars="20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努尔艾力·喀迪尔</w:t>
      </w:r>
    </w:p>
    <w:p>
      <w:pPr>
        <w:pStyle w:val="50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</w:rPr>
        <w:t>9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月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2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日</w:t>
      </w:r>
    </w:p>
    <w:p>
      <w:pPr>
        <w:pStyle w:val="50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</w:p>
    <w:p>
      <w:pPr>
        <w:pStyle w:val="50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</w:p>
    <w:p>
      <w:pPr>
        <w:pStyle w:val="50"/>
        <w:spacing w:line="700" w:lineRule="exact"/>
        <w:ind w:firstLine="624" w:firstLineChars="200"/>
        <w:jc w:val="left"/>
        <w:rPr>
          <w:rStyle w:val="19"/>
          <w:rFonts w:ascii="黑体" w:hAnsi="黑体" w:eastAsia="黑体" w:cs="Arial Unicode MS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Arial Unicode MS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pStyle w:val="51"/>
        <w:spacing w:line="360" w:lineRule="auto"/>
        <w:ind w:firstLine="630"/>
        <w:rPr>
          <w:rFonts w:ascii="楷体_GB2312" w:hAnsi="仿宋" w:eastAsia="楷体_GB2312"/>
          <w:sz w:val="32"/>
        </w:rPr>
      </w:pPr>
      <w:r>
        <w:rPr>
          <w:rFonts w:hint="eastAsia" w:ascii="楷体_GB2312" w:hAnsi="仿宋" w:eastAsia="楷体_GB2312"/>
          <w:sz w:val="32"/>
        </w:rPr>
        <w:t>城关乡位于县城西部，乡政府驻地距县城</w:t>
      </w:r>
      <w:r>
        <w:rPr>
          <w:rFonts w:ascii="楷体_GB2312" w:hAnsi="仿宋" w:eastAsia="楷体_GB2312"/>
          <w:sz w:val="32"/>
        </w:rPr>
        <w:t>0.8</w:t>
      </w:r>
      <w:r>
        <w:rPr>
          <w:rFonts w:hint="eastAsia" w:ascii="楷体_GB2312" w:hAnsi="仿宋" w:eastAsia="楷体_GB2312"/>
          <w:sz w:val="32"/>
        </w:rPr>
        <w:t>公里，乡境地势东低西高。东西跨距约</w:t>
      </w:r>
      <w:r>
        <w:rPr>
          <w:rFonts w:ascii="楷体_GB2312" w:hAnsi="仿宋" w:eastAsia="楷体_GB2312"/>
          <w:sz w:val="32"/>
        </w:rPr>
        <w:t>7</w:t>
      </w:r>
      <w:r>
        <w:rPr>
          <w:rFonts w:hint="eastAsia" w:ascii="楷体_GB2312" w:hAnsi="仿宋" w:eastAsia="楷体_GB2312"/>
          <w:sz w:val="32"/>
        </w:rPr>
        <w:t>公里，南北跨距</w:t>
      </w:r>
      <w:r>
        <w:rPr>
          <w:rFonts w:ascii="楷体_GB2312" w:hAnsi="仿宋" w:eastAsia="楷体_GB2312"/>
          <w:sz w:val="32"/>
        </w:rPr>
        <w:t>6</w:t>
      </w:r>
      <w:r>
        <w:rPr>
          <w:rFonts w:hint="eastAsia" w:ascii="楷体_GB2312" w:hAnsi="仿宋" w:eastAsia="楷体_GB2312"/>
          <w:sz w:val="32"/>
        </w:rPr>
        <w:t>公里，东连芒辛乡，南临康赛水库与乌恰乡分界，西接龙甫乡，西北与乔勒潘乡相接，北与色提力乡为邻。</w:t>
      </w:r>
    </w:p>
    <w:p>
      <w:pPr>
        <w:adjustRightInd w:val="0"/>
        <w:snapToGrid w:val="0"/>
        <w:spacing w:line="360" w:lineRule="auto"/>
        <w:ind w:firstLine="627" w:firstLineChars="200"/>
        <w:rPr>
          <w:rStyle w:val="19"/>
          <w:rFonts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（二）项目预算绩效目标设定情况。</w:t>
      </w:r>
    </w:p>
    <w:p>
      <w:pPr>
        <w:adjustRightInd w:val="0"/>
        <w:snapToGrid w:val="0"/>
        <w:spacing w:line="360" w:lineRule="auto"/>
        <w:ind w:firstLine="627" w:firstLineChars="200"/>
        <w:rPr>
          <w:rFonts w:ascii="楷体_GB2312" w:hAnsi="仿宋" w:eastAsia="楷体_GB2312"/>
          <w:bCs/>
          <w:spacing w:val="-4"/>
          <w:sz w:val="32"/>
          <w:szCs w:val="32"/>
        </w:rPr>
      </w:pPr>
      <w:r>
        <w:rPr>
          <w:rFonts w:ascii="楷体_GB2312" w:hAnsi="仿宋" w:eastAsia="楷体_GB2312"/>
          <w:b/>
          <w:bCs/>
          <w:spacing w:val="-4"/>
          <w:sz w:val="32"/>
          <w:szCs w:val="32"/>
        </w:rPr>
        <w:t>1</w:t>
      </w:r>
      <w:r>
        <w:rPr>
          <w:rFonts w:hint="eastAsia" w:ascii="楷体_GB2312" w:hAnsi="仿宋" w:eastAsia="楷体_GB2312"/>
          <w:b/>
          <w:bCs/>
          <w:spacing w:val="-4"/>
          <w:sz w:val="32"/>
          <w:szCs w:val="32"/>
        </w:rPr>
        <w:t>、项目预期目标及阶段性目标。</w:t>
      </w:r>
    </w:p>
    <w:p>
      <w:pPr>
        <w:adjustRightInd w:val="0"/>
        <w:snapToGrid w:val="0"/>
        <w:spacing w:line="360" w:lineRule="auto"/>
        <w:ind w:firstLine="624" w:firstLineChars="200"/>
        <w:rPr>
          <w:rFonts w:ascii="楷体_GB2312" w:hAnsi="仿宋" w:eastAsia="楷体_GB2312"/>
          <w:bCs/>
          <w:spacing w:val="-4"/>
          <w:sz w:val="32"/>
          <w:szCs w:val="32"/>
        </w:rPr>
      </w:pPr>
      <w:r>
        <w:rPr>
          <w:rFonts w:hint="eastAsia" w:ascii="楷体_GB2312" w:hAnsi="仿宋" w:eastAsia="楷体_GB2312"/>
          <w:bCs/>
          <w:spacing w:val="-4"/>
          <w:sz w:val="32"/>
          <w:szCs w:val="32"/>
        </w:rPr>
        <w:t>该项目的及时有效实施，切实解决贫困户在冬季病虫害防治中遇到的困难，降低了贫困户的投入成本，提高了农民的防治积极性，严格落实林果病虫害防治措施，为贫困户在产业发展上扶贫起到关键性作用，为农民在林果</w:t>
      </w:r>
      <w:bookmarkStart w:id="0" w:name="_GoBack"/>
      <w:bookmarkEnd w:id="0"/>
      <w:r>
        <w:rPr>
          <w:rFonts w:hint="eastAsia" w:ascii="楷体_GB2312" w:hAnsi="仿宋" w:eastAsia="楷体_GB2312"/>
          <w:bCs/>
          <w:spacing w:val="-4"/>
          <w:sz w:val="32"/>
          <w:szCs w:val="32"/>
        </w:rPr>
        <w:t>业上增加收入、为坚决打赢脱贫攻坚战、全面建成小康社会奠定坚实的基础。</w:t>
      </w:r>
    </w:p>
    <w:p>
      <w:pPr>
        <w:adjustRightInd w:val="0"/>
        <w:snapToGrid w:val="0"/>
        <w:spacing w:line="360" w:lineRule="auto"/>
        <w:ind w:firstLine="627" w:firstLineChars="200"/>
        <w:rPr>
          <w:rFonts w:ascii="楷体_GB2312" w:hAnsi="仿宋" w:eastAsia="楷体_GB2312"/>
          <w:bCs/>
          <w:spacing w:val="-4"/>
          <w:sz w:val="32"/>
          <w:szCs w:val="32"/>
        </w:rPr>
      </w:pPr>
      <w:r>
        <w:rPr>
          <w:rFonts w:ascii="楷体_GB2312" w:hAnsi="仿宋" w:eastAsia="楷体_GB2312"/>
          <w:b/>
          <w:bCs/>
          <w:spacing w:val="-4"/>
          <w:sz w:val="32"/>
          <w:szCs w:val="32"/>
        </w:rPr>
        <w:t>2</w:t>
      </w:r>
      <w:r>
        <w:rPr>
          <w:rFonts w:hint="eastAsia" w:ascii="楷体_GB2312" w:hAnsi="仿宋" w:eastAsia="楷体_GB2312"/>
          <w:b/>
          <w:bCs/>
          <w:spacing w:val="-4"/>
          <w:sz w:val="32"/>
          <w:szCs w:val="32"/>
        </w:rPr>
        <w:t>、项目基本性质。</w:t>
      </w:r>
      <w:r>
        <w:rPr>
          <w:rFonts w:hint="eastAsia" w:ascii="楷体_GB2312" w:hAnsi="仿宋" w:eastAsia="楷体_GB2312"/>
          <w:bCs/>
          <w:spacing w:val="-4"/>
          <w:sz w:val="32"/>
          <w:szCs w:val="32"/>
        </w:rPr>
        <w:t>本项目性质为一次性新增项目。</w:t>
      </w:r>
    </w:p>
    <w:p>
      <w:pPr>
        <w:adjustRightInd w:val="0"/>
        <w:snapToGrid w:val="0"/>
        <w:spacing w:line="360" w:lineRule="auto"/>
        <w:ind w:firstLine="627" w:firstLineChars="200"/>
        <w:rPr>
          <w:rFonts w:ascii="楷体_GB2312" w:hAnsi="仿宋" w:eastAsia="楷体_GB2312"/>
          <w:bCs/>
          <w:spacing w:val="-4"/>
          <w:sz w:val="32"/>
          <w:szCs w:val="32"/>
        </w:rPr>
      </w:pPr>
      <w:r>
        <w:rPr>
          <w:rFonts w:ascii="楷体_GB2312" w:hAnsi="仿宋" w:eastAsia="楷体_GB2312"/>
          <w:b/>
          <w:bCs/>
          <w:spacing w:val="-4"/>
          <w:sz w:val="32"/>
          <w:szCs w:val="32"/>
        </w:rPr>
        <w:t>3</w:t>
      </w:r>
      <w:r>
        <w:rPr>
          <w:rFonts w:hint="eastAsia" w:ascii="楷体_GB2312" w:hAnsi="仿宋" w:eastAsia="楷体_GB2312"/>
          <w:b/>
          <w:bCs/>
          <w:spacing w:val="-4"/>
          <w:sz w:val="32"/>
          <w:szCs w:val="32"/>
        </w:rPr>
        <w:t>、项目用途及范围。</w:t>
      </w:r>
      <w:r>
        <w:rPr>
          <w:rFonts w:hint="eastAsia" w:ascii="楷体_GB2312" w:hAnsi="仿宋" w:eastAsia="楷体_GB2312"/>
          <w:bCs/>
          <w:spacing w:val="-4"/>
          <w:sz w:val="32"/>
          <w:szCs w:val="32"/>
        </w:rPr>
        <w:t>该项目资金</w:t>
      </w:r>
      <w:r>
        <w:rPr>
          <w:rFonts w:ascii="楷体_GB2312" w:hAnsi="仿宋" w:eastAsia="楷体_GB2312"/>
          <w:bCs/>
          <w:spacing w:val="-4"/>
          <w:sz w:val="32"/>
          <w:szCs w:val="32"/>
        </w:rPr>
        <w:t>20.9945</w:t>
      </w:r>
      <w:r>
        <w:rPr>
          <w:rFonts w:hint="eastAsia" w:ascii="楷体_GB2312" w:hAnsi="仿宋" w:eastAsia="楷体_GB2312"/>
          <w:bCs/>
          <w:spacing w:val="-4"/>
          <w:sz w:val="32"/>
          <w:szCs w:val="32"/>
        </w:rPr>
        <w:t>万元，该项目资金</w:t>
      </w:r>
      <w:r>
        <w:rPr>
          <w:rFonts w:ascii="楷体_GB2312" w:hAnsi="仿宋" w:eastAsia="楷体_GB2312"/>
          <w:bCs/>
          <w:spacing w:val="-4"/>
          <w:sz w:val="32"/>
          <w:szCs w:val="32"/>
        </w:rPr>
        <w:t>20.9945</w:t>
      </w:r>
      <w:r>
        <w:rPr>
          <w:rFonts w:hint="eastAsia" w:ascii="楷体_GB2312" w:hAnsi="仿宋" w:eastAsia="楷体_GB2312"/>
          <w:bCs/>
          <w:spacing w:val="-4"/>
          <w:sz w:val="32"/>
          <w:szCs w:val="32"/>
        </w:rPr>
        <w:t>万元，主要为全乡有林果的贫困户在冬季病虫害防治上给于补助。</w:t>
      </w:r>
    </w:p>
    <w:p>
      <w:pPr>
        <w:adjustRightInd w:val="0"/>
        <w:snapToGrid w:val="0"/>
        <w:spacing w:line="360" w:lineRule="auto"/>
        <w:ind w:firstLine="627" w:firstLineChars="200"/>
        <w:rPr>
          <w:rStyle w:val="19"/>
          <w:rFonts w:ascii="楷体_GB2312" w:hAnsi="黑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黑体" w:eastAsia="楷体_GB2312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360" w:lineRule="auto"/>
        <w:ind w:firstLine="627" w:firstLineChars="200"/>
        <w:outlineLvl w:val="0"/>
        <w:rPr>
          <w:rStyle w:val="19"/>
          <w:rFonts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（一）项目资金安排落实、总投入等情况分析。</w:t>
      </w:r>
    </w:p>
    <w:p>
      <w:pPr>
        <w:adjustRightInd w:val="0"/>
        <w:snapToGrid w:val="0"/>
        <w:spacing w:line="360" w:lineRule="auto"/>
        <w:ind w:firstLine="624" w:firstLineChars="200"/>
        <w:rPr>
          <w:rFonts w:ascii="楷体_GB2312" w:hAnsi="仿宋" w:eastAsia="楷体_GB2312"/>
          <w:bCs/>
          <w:spacing w:val="-4"/>
          <w:sz w:val="32"/>
          <w:szCs w:val="32"/>
        </w:rPr>
      </w:pPr>
      <w:r>
        <w:rPr>
          <w:rFonts w:hint="eastAsia" w:ascii="楷体_GB2312" w:hAnsi="仿宋" w:eastAsia="楷体_GB2312"/>
          <w:bCs/>
          <w:spacing w:val="-4"/>
          <w:sz w:val="32"/>
          <w:szCs w:val="32"/>
        </w:rPr>
        <w:t>该项目资金</w:t>
      </w:r>
      <w:r>
        <w:rPr>
          <w:rFonts w:ascii="楷体_GB2312" w:hAnsi="仿宋" w:eastAsia="楷体_GB2312"/>
          <w:bCs/>
          <w:spacing w:val="-4"/>
          <w:sz w:val="32"/>
          <w:szCs w:val="32"/>
        </w:rPr>
        <w:t>20.9945</w:t>
      </w:r>
      <w:r>
        <w:rPr>
          <w:rFonts w:hint="eastAsia" w:ascii="楷体_GB2312" w:hAnsi="仿宋" w:eastAsia="楷体_GB2312"/>
          <w:bCs/>
          <w:spacing w:val="-4"/>
          <w:sz w:val="32"/>
          <w:szCs w:val="32"/>
        </w:rPr>
        <w:t>万元，由财政拨付，主要为全乡有林果的贫困户在冬季病虫害防治上给于补助。</w:t>
      </w:r>
    </w:p>
    <w:p>
      <w:pPr>
        <w:adjustRightInd w:val="0"/>
        <w:snapToGrid w:val="0"/>
        <w:spacing w:line="360" w:lineRule="auto"/>
        <w:ind w:firstLine="627" w:firstLineChars="200"/>
        <w:rPr>
          <w:rStyle w:val="19"/>
          <w:rFonts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（二）项目资金实际使用情况分析。</w:t>
      </w:r>
    </w:p>
    <w:p>
      <w:pPr>
        <w:adjustRightInd w:val="0"/>
        <w:snapToGrid w:val="0"/>
        <w:spacing w:line="360" w:lineRule="auto"/>
        <w:ind w:firstLine="624" w:firstLineChars="200"/>
        <w:rPr>
          <w:rFonts w:ascii="楷体_GB2312" w:hAnsi="仿宋" w:eastAsia="楷体_GB2312"/>
          <w:bCs/>
          <w:spacing w:val="-4"/>
          <w:sz w:val="32"/>
          <w:szCs w:val="32"/>
        </w:rPr>
      </w:pPr>
      <w:r>
        <w:rPr>
          <w:rFonts w:hint="eastAsia" w:ascii="楷体_GB2312" w:hAnsi="仿宋" w:eastAsia="楷体_GB2312"/>
          <w:bCs/>
          <w:spacing w:val="-4"/>
          <w:sz w:val="32"/>
          <w:szCs w:val="32"/>
        </w:rPr>
        <w:t>本项目实际支付资金</w:t>
      </w:r>
      <w:r>
        <w:rPr>
          <w:rFonts w:ascii="楷体_GB2312" w:hAnsi="仿宋" w:eastAsia="楷体_GB2312"/>
          <w:bCs/>
          <w:spacing w:val="-4"/>
          <w:sz w:val="32"/>
          <w:szCs w:val="32"/>
        </w:rPr>
        <w:t>20.9945</w:t>
      </w:r>
      <w:r>
        <w:rPr>
          <w:rFonts w:hint="eastAsia" w:ascii="楷体_GB2312" w:hAnsi="仿宋" w:eastAsia="楷体_GB2312"/>
          <w:bCs/>
          <w:spacing w:val="-4"/>
          <w:sz w:val="32"/>
          <w:szCs w:val="32"/>
        </w:rPr>
        <w:t>万元，预算执行率</w:t>
      </w:r>
      <w:r>
        <w:rPr>
          <w:rFonts w:ascii="楷体_GB2312" w:hAnsi="仿宋" w:eastAsia="楷体_GB2312"/>
          <w:bCs/>
          <w:spacing w:val="-4"/>
          <w:sz w:val="32"/>
          <w:szCs w:val="32"/>
        </w:rPr>
        <w:t>100%</w:t>
      </w:r>
      <w:r>
        <w:rPr>
          <w:rFonts w:hint="eastAsia" w:ascii="楷体_GB2312" w:hAnsi="仿宋" w:eastAsia="楷体_GB2312"/>
          <w:bCs/>
          <w:spacing w:val="-4"/>
          <w:sz w:val="32"/>
          <w:szCs w:val="32"/>
        </w:rPr>
        <w:t>，为全乡有林果的贫困户在冬季病虫害防治上给于补助。</w:t>
      </w:r>
    </w:p>
    <w:p>
      <w:pPr>
        <w:adjustRightInd w:val="0"/>
        <w:snapToGrid w:val="0"/>
        <w:spacing w:line="360" w:lineRule="auto"/>
        <w:ind w:firstLine="627" w:firstLineChars="200"/>
        <w:rPr>
          <w:rStyle w:val="19"/>
          <w:rFonts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（三）项目资金管理情况分析。</w:t>
      </w:r>
    </w:p>
    <w:p>
      <w:pPr>
        <w:adjustRightInd w:val="0"/>
        <w:snapToGrid w:val="0"/>
        <w:spacing w:line="360" w:lineRule="auto"/>
        <w:ind w:firstLine="624" w:firstLineChars="200"/>
        <w:rPr>
          <w:rFonts w:ascii="楷体_GB2312" w:hAnsi="仿宋" w:eastAsia="楷体_GB2312"/>
          <w:bCs/>
          <w:spacing w:val="-4"/>
          <w:sz w:val="32"/>
          <w:szCs w:val="32"/>
        </w:rPr>
      </w:pPr>
      <w:r>
        <w:rPr>
          <w:rFonts w:hint="eastAsia" w:ascii="楷体_GB2312" w:hAnsi="仿宋" w:eastAsia="楷体_GB2312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360" w:lineRule="auto"/>
        <w:ind w:firstLine="627" w:firstLineChars="200"/>
        <w:outlineLvl w:val="0"/>
        <w:rPr>
          <w:rStyle w:val="19"/>
          <w:rFonts w:ascii="楷体_GB2312" w:hAnsi="黑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黑体" w:eastAsia="楷体_GB2312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360" w:lineRule="auto"/>
        <w:ind w:firstLine="627" w:firstLineChars="200"/>
        <w:outlineLvl w:val="0"/>
        <w:rPr>
          <w:rStyle w:val="19"/>
          <w:rFonts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（一）项目组织情况分析。</w:t>
      </w:r>
    </w:p>
    <w:p>
      <w:pPr>
        <w:adjustRightInd w:val="0"/>
        <w:snapToGrid w:val="0"/>
        <w:spacing w:line="360" w:lineRule="auto"/>
        <w:ind w:firstLine="624" w:firstLineChars="200"/>
        <w:rPr>
          <w:rFonts w:ascii="楷体_GB2312" w:hAnsi="仿宋" w:eastAsia="楷体_GB2312"/>
          <w:bCs/>
          <w:spacing w:val="-4"/>
          <w:sz w:val="32"/>
          <w:szCs w:val="32"/>
        </w:rPr>
      </w:pPr>
      <w:r>
        <w:rPr>
          <w:rFonts w:hint="eastAsia" w:ascii="楷体_GB2312" w:hAnsi="仿宋" w:eastAsia="楷体_GB2312"/>
          <w:bCs/>
          <w:spacing w:val="-4"/>
          <w:sz w:val="32"/>
          <w:szCs w:val="32"/>
        </w:rPr>
        <w:t>一是该项目由城关乡人民政府组织实施。实施过程均按照本单位制定的管理制度执行；</w:t>
      </w:r>
    </w:p>
    <w:p>
      <w:pPr>
        <w:adjustRightInd w:val="0"/>
        <w:snapToGrid w:val="0"/>
        <w:spacing w:line="360" w:lineRule="auto"/>
        <w:ind w:firstLine="624" w:firstLineChars="200"/>
        <w:rPr>
          <w:rFonts w:ascii="楷体_GB2312" w:hAnsi="仿宋" w:eastAsia="楷体_GB2312"/>
          <w:bCs/>
          <w:spacing w:val="-4"/>
          <w:sz w:val="32"/>
          <w:szCs w:val="32"/>
        </w:rPr>
      </w:pPr>
      <w:r>
        <w:rPr>
          <w:rFonts w:hint="eastAsia" w:ascii="楷体_GB2312" w:hAnsi="仿宋" w:eastAsia="楷体_GB2312"/>
          <w:bCs/>
          <w:spacing w:val="-4"/>
          <w:sz w:val="32"/>
          <w:szCs w:val="32"/>
        </w:rPr>
        <w:t>二是本项目不存在调整情况。</w:t>
      </w:r>
    </w:p>
    <w:p>
      <w:pPr>
        <w:adjustRightInd w:val="0"/>
        <w:snapToGrid w:val="0"/>
        <w:spacing w:line="360" w:lineRule="auto"/>
        <w:ind w:firstLine="627" w:firstLineChars="200"/>
        <w:outlineLvl w:val="0"/>
        <w:rPr>
          <w:rStyle w:val="19"/>
          <w:rFonts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（二）项目管理情况分析。</w:t>
      </w:r>
    </w:p>
    <w:p>
      <w:pPr>
        <w:adjustRightInd w:val="0"/>
        <w:snapToGrid w:val="0"/>
        <w:spacing w:line="360" w:lineRule="auto"/>
        <w:ind w:firstLine="624" w:firstLineChars="200"/>
        <w:rPr>
          <w:rFonts w:ascii="楷体_GB2312" w:hAnsi="仿宋" w:eastAsia="楷体_GB2312"/>
          <w:bCs/>
          <w:spacing w:val="-4"/>
          <w:sz w:val="32"/>
          <w:szCs w:val="32"/>
        </w:rPr>
      </w:pPr>
      <w:r>
        <w:rPr>
          <w:rFonts w:hint="eastAsia" w:ascii="楷体_GB2312" w:hAnsi="仿宋" w:eastAsia="楷体_GB2312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360" w:lineRule="auto"/>
        <w:ind w:firstLine="627" w:firstLineChars="200"/>
        <w:outlineLvl w:val="0"/>
        <w:rPr>
          <w:rStyle w:val="19"/>
          <w:rFonts w:ascii="楷体_GB2312" w:hAnsi="黑体" w:eastAsia="楷体_GB2312"/>
        </w:rPr>
      </w:pPr>
      <w:r>
        <w:rPr>
          <w:rStyle w:val="19"/>
          <w:rFonts w:hint="eastAsia" w:ascii="楷体_GB2312" w:hAnsi="黑体" w:eastAsia="楷体_GB2312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360" w:lineRule="auto"/>
        <w:ind w:firstLine="627" w:firstLineChars="200"/>
        <w:outlineLvl w:val="0"/>
        <w:rPr>
          <w:rStyle w:val="19"/>
          <w:rFonts w:ascii="楷体_GB2312" w:hAnsi="楷体" w:eastAsia="楷体_GB2312"/>
          <w:bCs w:val="0"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（一）项目绩效目标完成情况分析。</w:t>
      </w:r>
    </w:p>
    <w:p>
      <w:pPr>
        <w:adjustRightInd w:val="0"/>
        <w:snapToGrid w:val="0"/>
        <w:spacing w:line="360" w:lineRule="auto"/>
        <w:ind w:firstLine="624" w:firstLineChars="200"/>
        <w:rPr>
          <w:rFonts w:ascii="楷体_GB2312" w:hAnsi="仿宋" w:eastAsia="楷体_GB2312"/>
          <w:spacing w:val="-4"/>
          <w:sz w:val="32"/>
          <w:szCs w:val="32"/>
        </w:rPr>
      </w:pPr>
      <w:r>
        <w:rPr>
          <w:rFonts w:hint="eastAsia" w:ascii="楷体_GB2312" w:hAnsi="仿宋" w:eastAsia="楷体_GB2312"/>
          <w:spacing w:val="-4"/>
          <w:sz w:val="32"/>
          <w:szCs w:val="32"/>
        </w:rPr>
        <w:t>本项目共设置一级指标</w:t>
      </w:r>
      <w:r>
        <w:rPr>
          <w:rFonts w:ascii="楷体_GB2312" w:hAnsi="仿宋" w:eastAsia="楷体_GB2312"/>
          <w:spacing w:val="-4"/>
          <w:sz w:val="32"/>
          <w:szCs w:val="32"/>
        </w:rPr>
        <w:t>3</w:t>
      </w:r>
      <w:r>
        <w:rPr>
          <w:rFonts w:hint="eastAsia" w:ascii="楷体_GB2312" w:hAnsi="仿宋" w:eastAsia="楷体_GB2312"/>
          <w:spacing w:val="-4"/>
          <w:sz w:val="32"/>
          <w:szCs w:val="32"/>
        </w:rPr>
        <w:t>个，已完成指标</w:t>
      </w:r>
      <w:r>
        <w:rPr>
          <w:rFonts w:ascii="楷体_GB2312" w:hAnsi="仿宋" w:eastAsia="楷体_GB2312"/>
          <w:spacing w:val="-4"/>
          <w:sz w:val="32"/>
          <w:szCs w:val="32"/>
        </w:rPr>
        <w:t>3</w:t>
      </w:r>
      <w:r>
        <w:rPr>
          <w:rFonts w:hint="eastAsia" w:ascii="楷体_GB2312" w:hAnsi="仿宋" w:eastAsia="楷体_GB2312"/>
          <w:spacing w:val="-4"/>
          <w:sz w:val="32"/>
          <w:szCs w:val="32"/>
        </w:rPr>
        <w:t>个，指标完成率为</w:t>
      </w:r>
      <w:r>
        <w:rPr>
          <w:rFonts w:ascii="楷体_GB2312" w:hAnsi="仿宋" w:eastAsia="楷体_GB2312"/>
          <w:spacing w:val="-4"/>
          <w:sz w:val="32"/>
          <w:szCs w:val="32"/>
        </w:rPr>
        <w:t>100%</w:t>
      </w:r>
      <w:r>
        <w:rPr>
          <w:rFonts w:hint="eastAsia" w:ascii="楷体_GB2312" w:hAnsi="仿宋" w:eastAsia="楷体_GB2312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24" w:firstLineChars="200"/>
        <w:rPr>
          <w:rFonts w:ascii="楷体_GB2312" w:hAnsi="仿宋" w:eastAsia="楷体_GB2312"/>
          <w:bCs/>
          <w:spacing w:val="-4"/>
          <w:sz w:val="32"/>
          <w:szCs w:val="32"/>
        </w:rPr>
      </w:pPr>
      <w:r>
        <w:rPr>
          <w:rFonts w:hint="eastAsia" w:ascii="楷体_GB2312" w:hAnsi="仿宋" w:eastAsia="楷体_GB2312"/>
          <w:spacing w:val="-4"/>
          <w:sz w:val="32"/>
          <w:szCs w:val="32"/>
        </w:rPr>
        <w:t>经济性：</w:t>
      </w:r>
      <w:r>
        <w:rPr>
          <w:rFonts w:hint="eastAsia" w:ascii="楷体_GB2312" w:hAnsi="仿宋" w:eastAsia="楷体_GB2312"/>
          <w:bCs/>
          <w:spacing w:val="-4"/>
          <w:sz w:val="32"/>
          <w:szCs w:val="32"/>
        </w:rPr>
        <w:t>该项目的及时有效实施，切实解决贫困户在冬季病虫害防治中遇到的困难，降低了贫困户的投入成本，提高了农民的防治积极性，严格落实林果病虫害防治措施，为贫困户在产业发展上扶贫起到关键性作用。</w:t>
      </w:r>
    </w:p>
    <w:p>
      <w:pPr>
        <w:adjustRightInd w:val="0"/>
        <w:snapToGrid w:val="0"/>
        <w:spacing w:line="360" w:lineRule="auto"/>
        <w:ind w:firstLine="624" w:firstLineChars="200"/>
        <w:rPr>
          <w:rFonts w:ascii="楷体_GB2312" w:hAnsi="仿宋" w:eastAsia="楷体_GB2312"/>
          <w:spacing w:val="-4"/>
          <w:sz w:val="32"/>
          <w:szCs w:val="32"/>
        </w:rPr>
      </w:pPr>
      <w:r>
        <w:rPr>
          <w:rFonts w:hint="eastAsia" w:ascii="楷体_GB2312" w:hAnsi="仿宋" w:eastAsia="楷体_GB2312"/>
          <w:spacing w:val="-4"/>
          <w:sz w:val="32"/>
          <w:szCs w:val="32"/>
        </w:rPr>
        <w:t>效率性：该项目</w:t>
      </w:r>
      <w:r>
        <w:rPr>
          <w:rFonts w:ascii="楷体_GB2312" w:hAnsi="仿宋" w:eastAsia="楷体_GB2312"/>
          <w:spacing w:val="-4"/>
          <w:sz w:val="32"/>
          <w:szCs w:val="32"/>
        </w:rPr>
        <w:t>2018</w:t>
      </w:r>
      <w:r>
        <w:rPr>
          <w:rFonts w:hint="eastAsia" w:ascii="楷体_GB2312" w:hAnsi="仿宋" w:eastAsia="楷体_GB2312"/>
          <w:spacing w:val="-4"/>
          <w:sz w:val="32"/>
          <w:szCs w:val="32"/>
        </w:rPr>
        <w:t>年全部实施完毕</w:t>
      </w:r>
    </w:p>
    <w:p>
      <w:pPr>
        <w:adjustRightInd w:val="0"/>
        <w:snapToGrid w:val="0"/>
        <w:spacing w:line="360" w:lineRule="auto"/>
        <w:ind w:firstLine="624" w:firstLineChars="200"/>
        <w:rPr>
          <w:rFonts w:ascii="楷体_GB2312" w:hAnsi="仿宋" w:eastAsia="楷体_GB2312"/>
          <w:bCs/>
          <w:spacing w:val="-4"/>
          <w:sz w:val="32"/>
          <w:szCs w:val="32"/>
        </w:rPr>
      </w:pPr>
      <w:r>
        <w:rPr>
          <w:rFonts w:hint="eastAsia" w:ascii="楷体_GB2312" w:hAnsi="仿宋" w:eastAsia="楷体_GB2312"/>
          <w:spacing w:val="-4"/>
          <w:sz w:val="32"/>
          <w:szCs w:val="32"/>
        </w:rPr>
        <w:t>效益性：</w:t>
      </w:r>
      <w:r>
        <w:rPr>
          <w:rFonts w:hint="eastAsia" w:ascii="楷体_GB2312" w:hAnsi="仿宋" w:eastAsia="楷体_GB2312"/>
          <w:bCs/>
          <w:spacing w:val="-4"/>
          <w:sz w:val="32"/>
          <w:szCs w:val="32"/>
        </w:rPr>
        <w:t>该项目的及时有效实施，切实解决贫困户在冬季病虫害防治中遇到的困难，降低了贫困户的投入成本，提高了农民的防治积极性，严格落实林果病虫害防治措施，为贫困户在产业发展上扶贫起到关键性作用，为农民在林果业上增加收入、为坚决打赢脱贫攻坚战、全面建成小康社会奠定坚实的基础。</w:t>
      </w:r>
    </w:p>
    <w:p>
      <w:pPr>
        <w:adjustRightInd w:val="0"/>
        <w:snapToGrid w:val="0"/>
        <w:spacing w:line="360" w:lineRule="auto"/>
        <w:ind w:firstLine="627" w:firstLineChars="200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360" w:lineRule="auto"/>
        <w:ind w:firstLine="624" w:firstLineChars="200"/>
        <w:rPr>
          <w:rFonts w:ascii="楷体_GB2312" w:hAnsi="仿宋" w:eastAsia="楷体_GB2312"/>
          <w:spacing w:val="-4"/>
          <w:sz w:val="32"/>
          <w:szCs w:val="32"/>
        </w:rPr>
      </w:pPr>
      <w:r>
        <w:rPr>
          <w:rFonts w:ascii="楷体_GB2312" w:hAnsi="仿宋" w:eastAsia="楷体_GB2312"/>
          <w:spacing w:val="-4"/>
          <w:sz w:val="32"/>
          <w:szCs w:val="32"/>
        </w:rPr>
        <w:t>2018</w:t>
      </w:r>
      <w:r>
        <w:rPr>
          <w:rFonts w:hint="eastAsia" w:ascii="楷体_GB2312" w:hAnsi="仿宋" w:eastAsia="楷体_GB2312"/>
          <w:spacing w:val="-4"/>
          <w:sz w:val="32"/>
          <w:szCs w:val="32"/>
        </w:rPr>
        <w:t>年本项目绩效目标全部达成，不存在未完成原因分析。</w:t>
      </w:r>
    </w:p>
    <w:p>
      <w:pPr>
        <w:adjustRightInd w:val="0"/>
        <w:snapToGrid w:val="0"/>
        <w:spacing w:line="360" w:lineRule="auto"/>
        <w:ind w:firstLine="627" w:firstLineChars="200"/>
        <w:outlineLvl w:val="0"/>
        <w:rPr>
          <w:rStyle w:val="19"/>
          <w:rFonts w:ascii="楷体_GB2312" w:hAnsi="黑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黑体" w:eastAsia="楷体_GB2312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360" w:lineRule="auto"/>
        <w:ind w:firstLine="627" w:firstLineChars="200"/>
        <w:outlineLvl w:val="0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（一）后续工作计划。</w:t>
      </w:r>
      <w:r>
        <w:rPr>
          <w:rFonts w:hint="eastAsia" w:ascii="楷体_GB2312" w:hAnsi="楷体" w:eastAsia="楷体_GB2312"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360" w:lineRule="auto"/>
        <w:ind w:firstLine="627" w:firstLineChars="200"/>
        <w:outlineLvl w:val="0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（二）主要经验及做法、存在问题和建议。</w:t>
      </w:r>
    </w:p>
    <w:p>
      <w:pPr>
        <w:adjustRightInd w:val="0"/>
        <w:snapToGrid w:val="0"/>
        <w:spacing w:line="360" w:lineRule="auto"/>
        <w:ind w:firstLine="627" w:firstLineChars="200"/>
        <w:rPr>
          <w:rFonts w:ascii="楷体_GB2312" w:hAnsi="仿宋" w:eastAsia="楷体_GB2312"/>
          <w:spacing w:val="-4"/>
          <w:sz w:val="32"/>
          <w:szCs w:val="32"/>
        </w:rPr>
      </w:pPr>
      <w:r>
        <w:rPr>
          <w:rFonts w:ascii="楷体_GB2312" w:hAnsi="仿宋" w:eastAsia="楷体_GB2312"/>
          <w:b/>
          <w:spacing w:val="-4"/>
          <w:sz w:val="32"/>
          <w:szCs w:val="32"/>
        </w:rPr>
        <w:t>1</w:t>
      </w:r>
      <w:r>
        <w:rPr>
          <w:rFonts w:hint="eastAsia" w:ascii="楷体_GB2312" w:hAnsi="仿宋" w:eastAsia="楷体_GB2312"/>
          <w:b/>
          <w:spacing w:val="-4"/>
          <w:sz w:val="32"/>
          <w:szCs w:val="32"/>
        </w:rPr>
        <w:t>、主要经验及做法。</w:t>
      </w:r>
      <w:r>
        <w:rPr>
          <w:rFonts w:hint="eastAsia" w:ascii="楷体_GB2312" w:hAnsi="仿宋" w:eastAsia="楷体_GB2312"/>
          <w:spacing w:val="-4"/>
          <w:sz w:val="32"/>
          <w:szCs w:val="32"/>
        </w:rPr>
        <w:t>为保证财务管理工作规范有序进行，</w:t>
      </w:r>
      <w:r>
        <w:rPr>
          <w:rFonts w:ascii="楷体_GB2312" w:hAnsi="仿宋" w:eastAsia="楷体_GB2312"/>
          <w:spacing w:val="-4"/>
          <w:sz w:val="32"/>
          <w:szCs w:val="32"/>
        </w:rPr>
        <w:t>2018</w:t>
      </w:r>
      <w:r>
        <w:rPr>
          <w:rFonts w:hint="eastAsia" w:ascii="楷体_GB2312" w:hAnsi="仿宋" w:eastAsia="楷体_GB2312"/>
          <w:spacing w:val="-4"/>
          <w:sz w:val="32"/>
          <w:szCs w:val="32"/>
        </w:rPr>
        <w:t>年我们按照英吉沙县财政局要求修改完善了相关财务管理的制度、规定，及时调整充实乡财经工作领导小组，不断加强内部控制和监督。对各项资金的管理、经费收支审批等均作了明确规定，正确组织资金的筹集、调度和使用。对所有大额支出专题报告需经会议研究通过。</w:t>
      </w:r>
      <w:r>
        <w:rPr>
          <w:rFonts w:ascii="仿宋" w:hAnsi="仿宋" w:eastAsia="楷体_GB2312"/>
          <w:spacing w:val="-4"/>
          <w:sz w:val="32"/>
          <w:szCs w:val="32"/>
        </w:rPr>
        <w:t> </w:t>
      </w:r>
      <w:r>
        <w:rPr>
          <w:rFonts w:hint="eastAsia" w:ascii="楷体_GB2312" w:hAnsi="仿宋" w:eastAsia="楷体_GB2312"/>
          <w:spacing w:val="-4"/>
          <w:sz w:val="32"/>
          <w:szCs w:val="32"/>
        </w:rPr>
        <w:t>强化制度执行。切实做好厉行节约工作，全面落实各项管理制度要求，努力降低行政成本。对各项指出实行限额把关、一支笔审批制度，做到一事一审批、一事一结账，各项费用严格履行审批程序。</w:t>
      </w:r>
    </w:p>
    <w:p>
      <w:pPr>
        <w:adjustRightInd w:val="0"/>
        <w:snapToGrid w:val="0"/>
        <w:spacing w:line="360" w:lineRule="auto"/>
        <w:ind w:firstLine="627" w:firstLineChars="200"/>
        <w:rPr>
          <w:rFonts w:ascii="楷体_GB2312" w:hAnsi="仿宋" w:eastAsia="楷体_GB2312"/>
          <w:spacing w:val="-4"/>
          <w:sz w:val="32"/>
          <w:szCs w:val="32"/>
        </w:rPr>
      </w:pPr>
      <w:r>
        <w:rPr>
          <w:rFonts w:ascii="楷体_GB2312" w:hAnsi="仿宋" w:eastAsia="楷体_GB2312"/>
          <w:b/>
          <w:spacing w:val="-4"/>
          <w:sz w:val="32"/>
          <w:szCs w:val="32"/>
        </w:rPr>
        <w:t>2</w:t>
      </w:r>
      <w:r>
        <w:rPr>
          <w:rFonts w:hint="eastAsia" w:ascii="楷体_GB2312" w:hAnsi="仿宋" w:eastAsia="楷体_GB2312"/>
          <w:b/>
          <w:spacing w:val="-4"/>
          <w:sz w:val="32"/>
          <w:szCs w:val="32"/>
        </w:rPr>
        <w:t>、存在的问题。</w:t>
      </w:r>
      <w:r>
        <w:rPr>
          <w:rFonts w:hint="eastAsia" w:ascii="楷体_GB2312" w:hAnsi="仿宋" w:eastAsia="楷体_GB2312"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360" w:lineRule="auto"/>
        <w:ind w:firstLine="627" w:firstLineChars="200"/>
        <w:rPr>
          <w:rFonts w:ascii="楷体_GB2312" w:hAnsi="仿宋" w:eastAsia="楷体_GB2312"/>
          <w:spacing w:val="-4"/>
          <w:sz w:val="32"/>
          <w:szCs w:val="32"/>
        </w:rPr>
      </w:pPr>
      <w:r>
        <w:rPr>
          <w:rFonts w:ascii="楷体_GB2312" w:hAnsi="仿宋" w:eastAsia="楷体_GB2312"/>
          <w:b/>
          <w:spacing w:val="-4"/>
          <w:sz w:val="32"/>
          <w:szCs w:val="32"/>
        </w:rPr>
        <w:t>3</w:t>
      </w:r>
      <w:r>
        <w:rPr>
          <w:rFonts w:hint="eastAsia" w:ascii="楷体_GB2312" w:hAnsi="仿宋" w:eastAsia="楷体_GB2312"/>
          <w:b/>
          <w:spacing w:val="-4"/>
          <w:sz w:val="32"/>
          <w:szCs w:val="32"/>
        </w:rPr>
        <w:t>、建议。</w:t>
      </w:r>
      <w:r>
        <w:rPr>
          <w:rFonts w:ascii="楷体_GB2312" w:hAnsi="仿宋" w:eastAsia="楷体_GB2312"/>
          <w:spacing w:val="-4"/>
          <w:sz w:val="32"/>
          <w:szCs w:val="32"/>
        </w:rPr>
        <w:t xml:space="preserve"> </w:t>
      </w:r>
      <w:r>
        <w:rPr>
          <w:rFonts w:hint="eastAsia" w:ascii="楷体_GB2312" w:hAnsi="仿宋" w:eastAsia="楷体_GB2312"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360" w:lineRule="auto"/>
        <w:ind w:left="420" w:leftChars="200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360" w:lineRule="auto"/>
        <w:ind w:firstLine="624" w:firstLineChars="200"/>
        <w:rPr>
          <w:rFonts w:ascii="楷体_GB2312" w:hAnsi="仿宋" w:eastAsia="楷体_GB2312"/>
          <w:spacing w:val="-4"/>
          <w:sz w:val="32"/>
          <w:szCs w:val="32"/>
        </w:rPr>
      </w:pPr>
      <w:r>
        <w:rPr>
          <w:rFonts w:hint="eastAsia" w:ascii="楷体_GB2312" w:hAnsi="仿宋" w:eastAsia="楷体_GB2312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360" w:lineRule="auto"/>
        <w:ind w:firstLine="627" w:firstLineChars="200"/>
        <w:outlineLvl w:val="0"/>
        <w:rPr>
          <w:rFonts w:ascii="楷体_GB2312" w:hAnsi="黑体" w:eastAsia="楷体_GB2312"/>
          <w:bCs/>
          <w:spacing w:val="-4"/>
          <w:sz w:val="32"/>
          <w:szCs w:val="32"/>
        </w:rPr>
      </w:pPr>
      <w:r>
        <w:rPr>
          <w:rStyle w:val="19"/>
          <w:rFonts w:hint="eastAsia" w:ascii="楷体_GB2312" w:hAnsi="黑体" w:eastAsia="楷体_GB2312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360" w:lineRule="auto"/>
        <w:ind w:firstLine="624" w:firstLineChars="200"/>
        <w:rPr>
          <w:rFonts w:ascii="楷体_GB2312" w:hAnsi="仿宋" w:eastAsia="楷体_GB2312"/>
          <w:spacing w:val="-4"/>
          <w:sz w:val="32"/>
          <w:szCs w:val="32"/>
        </w:rPr>
      </w:pPr>
      <w:r>
        <w:rPr>
          <w:rFonts w:hint="eastAsia" w:ascii="楷体_GB2312" w:hAnsi="仿宋" w:eastAsia="楷体_GB2312"/>
          <w:spacing w:val="-4"/>
          <w:sz w:val="32"/>
          <w:szCs w:val="32"/>
        </w:rPr>
        <w:t>城关乡切实加强财务管理，强化财务监督，增强法纪观念，遵守规章制度。为保证财务管理工作规范有序进行，</w:t>
      </w:r>
      <w:r>
        <w:rPr>
          <w:rFonts w:ascii="楷体_GB2312" w:hAnsi="仿宋" w:eastAsia="楷体_GB2312"/>
          <w:spacing w:val="-4"/>
          <w:sz w:val="32"/>
          <w:szCs w:val="32"/>
        </w:rPr>
        <w:t>2018</w:t>
      </w:r>
      <w:r>
        <w:rPr>
          <w:rFonts w:hint="eastAsia" w:ascii="楷体_GB2312" w:hAnsi="仿宋" w:eastAsia="楷体_GB2312"/>
          <w:spacing w:val="-4"/>
          <w:sz w:val="32"/>
          <w:szCs w:val="32"/>
        </w:rPr>
        <w:t>年我们修改完善了相关财务管理的制度、规定，及时调整充实乡财经工作领导小组，不断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力降低行政成本。</w:t>
      </w:r>
    </w:p>
    <w:p>
      <w:pPr>
        <w:adjustRightInd w:val="0"/>
        <w:snapToGrid w:val="0"/>
        <w:spacing w:line="360" w:lineRule="auto"/>
        <w:ind w:firstLine="627" w:firstLineChars="200"/>
        <w:outlineLvl w:val="0"/>
        <w:rPr>
          <w:rStyle w:val="19"/>
          <w:rFonts w:ascii="楷体_GB2312" w:hAnsi="黑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黑体" w:eastAsia="楷体_GB2312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360" w:lineRule="auto"/>
        <w:ind w:firstLine="624" w:firstLineChars="200"/>
        <w:rPr>
          <w:rFonts w:ascii="楷体_GB2312" w:hAnsi="仿宋" w:eastAsia="楷体_GB2312"/>
          <w:spacing w:val="-4"/>
          <w:sz w:val="32"/>
          <w:szCs w:val="32"/>
        </w:rPr>
      </w:pPr>
      <w:r>
        <w:rPr>
          <w:rFonts w:hint="eastAsia" w:ascii="楷体_GB2312" w:hAnsi="仿宋" w:eastAsia="楷体_GB2312"/>
          <w:spacing w:val="-4"/>
          <w:sz w:val="32"/>
          <w:szCs w:val="32"/>
        </w:rPr>
        <w:t>《项目支出绩效目标自评表》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framePr w:wrap="around" w:vAnchor="text" w:hAnchor="margin" w:xAlign="center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separate"/>
    </w:r>
    <w:r>
      <w:rPr>
        <w:rStyle w:val="20"/>
      </w:rPr>
      <w:t>1</w:t>
    </w:r>
    <w:r>
      <w:rPr>
        <w:rStyle w:val="20"/>
      </w:rPr>
      <w:fldChar w:fldCharType="end"/>
    </w:r>
  </w:p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framePr w:wrap="around" w:vAnchor="text" w:hAnchor="margin" w:xAlign="center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6457"/>
    <w:rsid w:val="000373D6"/>
    <w:rsid w:val="0004796C"/>
    <w:rsid w:val="00083EEE"/>
    <w:rsid w:val="00093A1E"/>
    <w:rsid w:val="0012006C"/>
    <w:rsid w:val="0012208E"/>
    <w:rsid w:val="00135256"/>
    <w:rsid w:val="00137CB3"/>
    <w:rsid w:val="0014161B"/>
    <w:rsid w:val="001714F4"/>
    <w:rsid w:val="001A4E1F"/>
    <w:rsid w:val="001A57B9"/>
    <w:rsid w:val="001C3847"/>
    <w:rsid w:val="001D0FBA"/>
    <w:rsid w:val="001F3031"/>
    <w:rsid w:val="001F56A4"/>
    <w:rsid w:val="00210A26"/>
    <w:rsid w:val="00212859"/>
    <w:rsid w:val="00223C9E"/>
    <w:rsid w:val="00257C8A"/>
    <w:rsid w:val="00264B9F"/>
    <w:rsid w:val="0027417F"/>
    <w:rsid w:val="00275843"/>
    <w:rsid w:val="00280F68"/>
    <w:rsid w:val="002A2532"/>
    <w:rsid w:val="002A25A2"/>
    <w:rsid w:val="002A2D76"/>
    <w:rsid w:val="002B21A6"/>
    <w:rsid w:val="002C7C64"/>
    <w:rsid w:val="002F7D36"/>
    <w:rsid w:val="00365250"/>
    <w:rsid w:val="0036624C"/>
    <w:rsid w:val="00385849"/>
    <w:rsid w:val="003978FE"/>
    <w:rsid w:val="003B015C"/>
    <w:rsid w:val="00420DF1"/>
    <w:rsid w:val="004222EE"/>
    <w:rsid w:val="00462747"/>
    <w:rsid w:val="004C1823"/>
    <w:rsid w:val="0050167F"/>
    <w:rsid w:val="00514506"/>
    <w:rsid w:val="005162F1"/>
    <w:rsid w:val="00516E80"/>
    <w:rsid w:val="005269C7"/>
    <w:rsid w:val="00534021"/>
    <w:rsid w:val="00535153"/>
    <w:rsid w:val="00546602"/>
    <w:rsid w:val="0057141E"/>
    <w:rsid w:val="00575CFE"/>
    <w:rsid w:val="00583AFC"/>
    <w:rsid w:val="00592D09"/>
    <w:rsid w:val="006020B7"/>
    <w:rsid w:val="006122E6"/>
    <w:rsid w:val="00625FCE"/>
    <w:rsid w:val="00637B32"/>
    <w:rsid w:val="00652607"/>
    <w:rsid w:val="00675D58"/>
    <w:rsid w:val="006F2E6D"/>
    <w:rsid w:val="0070188C"/>
    <w:rsid w:val="0070406B"/>
    <w:rsid w:val="007218B8"/>
    <w:rsid w:val="00755C6A"/>
    <w:rsid w:val="007723E4"/>
    <w:rsid w:val="00785FDE"/>
    <w:rsid w:val="0079002B"/>
    <w:rsid w:val="007A0351"/>
    <w:rsid w:val="007A14BC"/>
    <w:rsid w:val="007A7564"/>
    <w:rsid w:val="007B2DF0"/>
    <w:rsid w:val="007B7B70"/>
    <w:rsid w:val="007C1025"/>
    <w:rsid w:val="007E6845"/>
    <w:rsid w:val="007F5F8A"/>
    <w:rsid w:val="00823514"/>
    <w:rsid w:val="008261A8"/>
    <w:rsid w:val="00826CA1"/>
    <w:rsid w:val="00835B7F"/>
    <w:rsid w:val="00855E3A"/>
    <w:rsid w:val="00862D10"/>
    <w:rsid w:val="00895328"/>
    <w:rsid w:val="00897D37"/>
    <w:rsid w:val="008A7C86"/>
    <w:rsid w:val="008B7E88"/>
    <w:rsid w:val="008D7967"/>
    <w:rsid w:val="00921085"/>
    <w:rsid w:val="00922CB9"/>
    <w:rsid w:val="009350F7"/>
    <w:rsid w:val="00961D24"/>
    <w:rsid w:val="00982254"/>
    <w:rsid w:val="009B526F"/>
    <w:rsid w:val="009C1AFD"/>
    <w:rsid w:val="009C7329"/>
    <w:rsid w:val="00A109D3"/>
    <w:rsid w:val="00A26421"/>
    <w:rsid w:val="00A4293B"/>
    <w:rsid w:val="00A83BD5"/>
    <w:rsid w:val="00A977DF"/>
    <w:rsid w:val="00AC1C1C"/>
    <w:rsid w:val="00AE25E2"/>
    <w:rsid w:val="00AE6A23"/>
    <w:rsid w:val="00B06CA5"/>
    <w:rsid w:val="00B14E9A"/>
    <w:rsid w:val="00B404B4"/>
    <w:rsid w:val="00B41F61"/>
    <w:rsid w:val="00B55332"/>
    <w:rsid w:val="00B64C16"/>
    <w:rsid w:val="00B82979"/>
    <w:rsid w:val="00B86E8C"/>
    <w:rsid w:val="00BE1A00"/>
    <w:rsid w:val="00BE48BD"/>
    <w:rsid w:val="00BE52C0"/>
    <w:rsid w:val="00C014CA"/>
    <w:rsid w:val="00C224E4"/>
    <w:rsid w:val="00C22CF0"/>
    <w:rsid w:val="00C37319"/>
    <w:rsid w:val="00C56C72"/>
    <w:rsid w:val="00CA6457"/>
    <w:rsid w:val="00CC6E4D"/>
    <w:rsid w:val="00D17F2E"/>
    <w:rsid w:val="00D46194"/>
    <w:rsid w:val="00D67A95"/>
    <w:rsid w:val="00D8687D"/>
    <w:rsid w:val="00DA4010"/>
    <w:rsid w:val="00DA602C"/>
    <w:rsid w:val="00DE62AE"/>
    <w:rsid w:val="00E01293"/>
    <w:rsid w:val="00E027D1"/>
    <w:rsid w:val="00E13064"/>
    <w:rsid w:val="00E23175"/>
    <w:rsid w:val="00E43E16"/>
    <w:rsid w:val="00E74FB2"/>
    <w:rsid w:val="00E769FE"/>
    <w:rsid w:val="00EA2CBE"/>
    <w:rsid w:val="00EC6669"/>
    <w:rsid w:val="00EE6224"/>
    <w:rsid w:val="00F13777"/>
    <w:rsid w:val="00F32FEE"/>
    <w:rsid w:val="00F50E09"/>
    <w:rsid w:val="00F53E69"/>
    <w:rsid w:val="00F71041"/>
    <w:rsid w:val="00F83F2D"/>
    <w:rsid w:val="00F94FDF"/>
    <w:rsid w:val="0465231D"/>
    <w:rsid w:val="0ED72759"/>
    <w:rsid w:val="0F6A6B1C"/>
    <w:rsid w:val="1EBA02D4"/>
    <w:rsid w:val="298820D9"/>
    <w:rsid w:val="2CDE5E92"/>
    <w:rsid w:val="2F8A227C"/>
    <w:rsid w:val="37AB5386"/>
    <w:rsid w:val="47B17686"/>
    <w:rsid w:val="49EC67EB"/>
    <w:rsid w:val="4ED40108"/>
    <w:rsid w:val="4F9D2EEC"/>
    <w:rsid w:val="53676C17"/>
    <w:rsid w:val="61CC1337"/>
    <w:rsid w:val="7F26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name="Document Map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4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5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6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7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8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9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30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31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8">
    <w:name w:val="Default Paragraph Font"/>
    <w:semiHidden/>
    <w:unhideWhenUsed/>
    <w:uiPriority w:val="1"/>
  </w:style>
  <w:style w:type="table" w:default="1" w:styleId="2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2"/>
    <w:semiHidden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33"/>
    <w:semiHidden/>
    <w:qFormat/>
    <w:uiPriority w:val="99"/>
    <w:rPr>
      <w:sz w:val="18"/>
      <w:szCs w:val="18"/>
    </w:rPr>
  </w:style>
  <w:style w:type="paragraph" w:styleId="13">
    <w:name w:val="footer"/>
    <w:basedOn w:val="1"/>
    <w:link w:val="34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3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6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6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7">
    <w:name w:val="Title"/>
    <w:basedOn w:val="1"/>
    <w:next w:val="1"/>
    <w:link w:val="37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99"/>
    <w:rPr>
      <w:rFonts w:cs="Times New Roman"/>
      <w:b/>
      <w:bCs/>
    </w:rPr>
  </w:style>
  <w:style w:type="character" w:styleId="20">
    <w:name w:val="page number"/>
    <w:basedOn w:val="18"/>
    <w:qFormat/>
    <w:locked/>
    <w:uiPriority w:val="99"/>
    <w:rPr>
      <w:rFonts w:cs="Times New Roman"/>
    </w:rPr>
  </w:style>
  <w:style w:type="character" w:styleId="21">
    <w:name w:val="Emphasis"/>
    <w:basedOn w:val="18"/>
    <w:qFormat/>
    <w:uiPriority w:val="99"/>
    <w:rPr>
      <w:rFonts w:ascii="Calibri" w:hAnsi="Calibri" w:cs="Times New Roman"/>
      <w:b/>
      <w:i/>
      <w:iCs/>
    </w:rPr>
  </w:style>
  <w:style w:type="character" w:customStyle="1" w:styleId="23">
    <w:name w:val="标题 1 Char"/>
    <w:basedOn w:val="18"/>
    <w:link w:val="2"/>
    <w:qFormat/>
    <w:locked/>
    <w:uiPriority w:val="99"/>
    <w:rPr>
      <w:rFonts w:ascii="Cambria" w:hAnsi="Cambria" w:eastAsia="宋体" w:cs="Times New Roman"/>
      <w:b/>
      <w:bCs/>
      <w:kern w:val="32"/>
      <w:sz w:val="32"/>
      <w:szCs w:val="32"/>
    </w:rPr>
  </w:style>
  <w:style w:type="character" w:customStyle="1" w:styleId="24">
    <w:name w:val="标题 2 Char"/>
    <w:basedOn w:val="18"/>
    <w:link w:val="3"/>
    <w:semiHidden/>
    <w:qFormat/>
    <w:locked/>
    <w:uiPriority w:val="99"/>
    <w:rPr>
      <w:rFonts w:ascii="Cambria" w:hAnsi="Cambria" w:eastAsia="宋体" w:cs="Times New Roman"/>
      <w:b/>
      <w:bCs/>
      <w:i/>
      <w:iCs/>
      <w:sz w:val="28"/>
      <w:szCs w:val="28"/>
    </w:rPr>
  </w:style>
  <w:style w:type="character" w:customStyle="1" w:styleId="25">
    <w:name w:val="标题 3 Char"/>
    <w:basedOn w:val="18"/>
    <w:link w:val="4"/>
    <w:semiHidden/>
    <w:locked/>
    <w:uiPriority w:val="99"/>
    <w:rPr>
      <w:rFonts w:ascii="Cambria" w:hAnsi="Cambria" w:eastAsia="宋体" w:cs="Times New Roman"/>
      <w:b/>
      <w:bCs/>
      <w:sz w:val="26"/>
      <w:szCs w:val="26"/>
    </w:rPr>
  </w:style>
  <w:style w:type="character" w:customStyle="1" w:styleId="26">
    <w:name w:val="标题 4 Char"/>
    <w:basedOn w:val="18"/>
    <w:link w:val="5"/>
    <w:semiHidden/>
    <w:qFormat/>
    <w:locked/>
    <w:uiPriority w:val="99"/>
    <w:rPr>
      <w:rFonts w:cs="Times New Roman"/>
      <w:b/>
      <w:bCs/>
      <w:sz w:val="28"/>
      <w:szCs w:val="28"/>
    </w:rPr>
  </w:style>
  <w:style w:type="character" w:customStyle="1" w:styleId="27">
    <w:name w:val="标题 5 Char"/>
    <w:basedOn w:val="18"/>
    <w:link w:val="6"/>
    <w:semiHidden/>
    <w:locked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28">
    <w:name w:val="标题 6 Char"/>
    <w:basedOn w:val="18"/>
    <w:link w:val="7"/>
    <w:semiHidden/>
    <w:qFormat/>
    <w:locked/>
    <w:uiPriority w:val="99"/>
    <w:rPr>
      <w:rFonts w:cs="Times New Roman"/>
      <w:b/>
      <w:bCs/>
    </w:rPr>
  </w:style>
  <w:style w:type="character" w:customStyle="1" w:styleId="29">
    <w:name w:val="标题 7 Char"/>
    <w:basedOn w:val="18"/>
    <w:link w:val="8"/>
    <w:semiHidden/>
    <w:qFormat/>
    <w:locked/>
    <w:uiPriority w:val="99"/>
    <w:rPr>
      <w:rFonts w:cs="Times New Roman"/>
      <w:sz w:val="24"/>
      <w:szCs w:val="24"/>
    </w:rPr>
  </w:style>
  <w:style w:type="character" w:customStyle="1" w:styleId="30">
    <w:name w:val="标题 8 Char"/>
    <w:basedOn w:val="18"/>
    <w:link w:val="9"/>
    <w:semiHidden/>
    <w:locked/>
    <w:uiPriority w:val="99"/>
    <w:rPr>
      <w:rFonts w:cs="Times New Roman"/>
      <w:i/>
      <w:iCs/>
      <w:sz w:val="24"/>
      <w:szCs w:val="24"/>
    </w:rPr>
  </w:style>
  <w:style w:type="character" w:customStyle="1" w:styleId="31">
    <w:name w:val="标题 9 Char"/>
    <w:basedOn w:val="18"/>
    <w:link w:val="10"/>
    <w:semiHidden/>
    <w:qFormat/>
    <w:locked/>
    <w:uiPriority w:val="99"/>
    <w:rPr>
      <w:rFonts w:ascii="Cambria" w:hAnsi="Cambria" w:eastAsia="宋体" w:cs="Times New Roman"/>
    </w:rPr>
  </w:style>
  <w:style w:type="character" w:customStyle="1" w:styleId="32">
    <w:name w:val="文档结构图 Char"/>
    <w:basedOn w:val="18"/>
    <w:link w:val="11"/>
    <w:semiHidden/>
    <w:qFormat/>
    <w:locked/>
    <w:uiPriority w:val="99"/>
    <w:rPr>
      <w:rFonts w:ascii="宋体" w:hAnsi="Times New Roman" w:eastAsia="宋体" w:cs="Times New Roman"/>
      <w:kern w:val="2"/>
      <w:sz w:val="18"/>
      <w:szCs w:val="18"/>
    </w:rPr>
  </w:style>
  <w:style w:type="character" w:customStyle="1" w:styleId="33">
    <w:name w:val="批注框文本 Char"/>
    <w:basedOn w:val="18"/>
    <w:link w:val="12"/>
    <w:semiHidden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4">
    <w:name w:val="页脚 Char"/>
    <w:basedOn w:val="18"/>
    <w:link w:val="1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5">
    <w:name w:val="页眉 Char"/>
    <w:basedOn w:val="18"/>
    <w:link w:val="14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6">
    <w:name w:val="副标题 Char"/>
    <w:basedOn w:val="18"/>
    <w:link w:val="15"/>
    <w:qFormat/>
    <w:locked/>
    <w:uiPriority w:val="99"/>
    <w:rPr>
      <w:rFonts w:ascii="Cambria" w:hAnsi="Cambria" w:eastAsia="宋体" w:cs="Times New Roman"/>
      <w:sz w:val="24"/>
      <w:szCs w:val="24"/>
    </w:rPr>
  </w:style>
  <w:style w:type="character" w:customStyle="1" w:styleId="37">
    <w:name w:val="标题 Char"/>
    <w:basedOn w:val="18"/>
    <w:link w:val="17"/>
    <w:qFormat/>
    <w:locked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paragraph" w:styleId="38">
    <w:name w:val="No Spacing"/>
    <w:basedOn w:val="1"/>
    <w:qFormat/>
    <w:uiPriority w:val="9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39">
    <w:name w:val="List Paragraph"/>
    <w:basedOn w:val="1"/>
    <w:qFormat/>
    <w:uiPriority w:val="9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40">
    <w:name w:val="Quote"/>
    <w:basedOn w:val="1"/>
    <w:next w:val="1"/>
    <w:link w:val="41"/>
    <w:qFormat/>
    <w:uiPriority w:val="9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41">
    <w:name w:val="引用 Char"/>
    <w:basedOn w:val="18"/>
    <w:link w:val="40"/>
    <w:qFormat/>
    <w:locked/>
    <w:uiPriority w:val="99"/>
    <w:rPr>
      <w:rFonts w:cs="Times New Roman"/>
      <w:i/>
      <w:sz w:val="24"/>
      <w:szCs w:val="24"/>
    </w:rPr>
  </w:style>
  <w:style w:type="paragraph" w:styleId="42">
    <w:name w:val="Intense Quote"/>
    <w:basedOn w:val="1"/>
    <w:next w:val="1"/>
    <w:link w:val="43"/>
    <w:qFormat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43">
    <w:name w:val="明显引用 Char"/>
    <w:basedOn w:val="18"/>
    <w:link w:val="42"/>
    <w:qFormat/>
    <w:locked/>
    <w:uiPriority w:val="99"/>
    <w:rPr>
      <w:rFonts w:cs="Times New Roman"/>
      <w:b/>
      <w:i/>
      <w:sz w:val="24"/>
    </w:rPr>
  </w:style>
  <w:style w:type="character" w:customStyle="1" w:styleId="44">
    <w:name w:val="Subtle Emphasis1"/>
    <w:qFormat/>
    <w:uiPriority w:val="99"/>
    <w:rPr>
      <w:i/>
      <w:color w:val="5A5A5A"/>
    </w:rPr>
  </w:style>
  <w:style w:type="character" w:customStyle="1" w:styleId="45">
    <w:name w:val="Intense Emphasis1"/>
    <w:basedOn w:val="18"/>
    <w:qFormat/>
    <w:uiPriority w:val="99"/>
    <w:rPr>
      <w:rFonts w:cs="Times New Roman"/>
      <w:b/>
      <w:i/>
      <w:sz w:val="24"/>
      <w:szCs w:val="24"/>
      <w:u w:val="single"/>
    </w:rPr>
  </w:style>
  <w:style w:type="character" w:customStyle="1" w:styleId="46">
    <w:name w:val="Subtle Reference1"/>
    <w:basedOn w:val="18"/>
    <w:qFormat/>
    <w:uiPriority w:val="99"/>
    <w:rPr>
      <w:rFonts w:cs="Times New Roman"/>
      <w:sz w:val="24"/>
      <w:szCs w:val="24"/>
      <w:u w:val="single"/>
    </w:rPr>
  </w:style>
  <w:style w:type="character" w:customStyle="1" w:styleId="47">
    <w:name w:val="Intense Reference1"/>
    <w:basedOn w:val="18"/>
    <w:uiPriority w:val="99"/>
    <w:rPr>
      <w:rFonts w:cs="Times New Roman"/>
      <w:b/>
      <w:sz w:val="24"/>
      <w:u w:val="single"/>
    </w:rPr>
  </w:style>
  <w:style w:type="character" w:customStyle="1" w:styleId="48">
    <w:name w:val="Book Title1"/>
    <w:basedOn w:val="18"/>
    <w:qFormat/>
    <w:uiPriority w:val="99"/>
    <w:rPr>
      <w:rFonts w:ascii="Cambria" w:hAnsi="Cambria" w:eastAsia="宋体" w:cs="Times New Roman"/>
      <w:b/>
      <w:i/>
      <w:sz w:val="24"/>
      <w:szCs w:val="24"/>
    </w:rPr>
  </w:style>
  <w:style w:type="paragraph" w:customStyle="1" w:styleId="49">
    <w:name w:val="TOC Heading1"/>
    <w:basedOn w:val="2"/>
    <w:next w:val="1"/>
    <w:semiHidden/>
    <w:qFormat/>
    <w:uiPriority w:val="99"/>
    <w:pPr>
      <w:outlineLvl w:val="9"/>
    </w:pPr>
    <w:rPr>
      <w:lang w:eastAsia="en-US"/>
    </w:rPr>
  </w:style>
  <w:style w:type="paragraph" w:customStyle="1" w:styleId="50">
    <w:name w:val="正文 A"/>
    <w:uiPriority w:val="99"/>
    <w:pPr>
      <w:widowControl w:val="0"/>
      <w:jc w:val="both"/>
    </w:pPr>
    <w:rPr>
      <w:rFonts w:ascii="Arial Unicode MS" w:hAnsi="Arial Unicode MS" w:eastAsia="宋体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51">
    <w:name w:val="p0"/>
    <w:basedOn w:val="1"/>
    <w:qFormat/>
    <w:uiPriority w:val="99"/>
    <w:pPr>
      <w:widowControl/>
    </w:pPr>
    <w:rPr>
      <w:rFonts w:ascii="Calibri" w:hAnsi="Calibri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302</Words>
  <Characters>1724</Characters>
  <Lines>14</Lines>
  <Paragraphs>4</Paragraphs>
  <TotalTime>39</TotalTime>
  <ScaleCrop>false</ScaleCrop>
  <LinksUpToDate>false</LinksUpToDate>
  <CharactersWithSpaces>2022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2019-01-29T17:16:00Z</dcterms:created>
  <dc:creator>赵 恺（预算处）</dc:creator>
  <cp:lastModifiedBy>Administrator</cp:lastModifiedBy>
  <cp:lastPrinted>2018-12-17T10:15:00Z</cp:lastPrinted>
  <dcterms:modified xsi:type="dcterms:W3CDTF">2019-09-20T02:59:14Z</dcterms:modified>
  <dc:title>新疆财政支出绩效自评报告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